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cs="Calibri" w:cstheme="minorHAnsi"/>
          <w:b/>
          <w:b/>
          <w:bCs/>
          <w:color w:val="002060"/>
          <w:sz w:val="18"/>
          <w:szCs w:val="18"/>
        </w:rPr>
      </w:pPr>
      <w:r>
        <w:rPr>
          <w:rFonts w:cs="Calibri" w:cstheme="minorHAnsi"/>
          <w:b/>
          <w:bCs/>
          <w:color w:val="002060"/>
          <w:sz w:val="18"/>
          <w:szCs w:val="18"/>
        </w:rPr>
      </w:r>
    </w:p>
    <w:p>
      <w:pPr>
        <w:pStyle w:val="Normal"/>
        <w:spacing w:lineRule="auto" w:line="360"/>
        <w:jc w:val="center"/>
        <w:rPr>
          <w:rFonts w:cs="Calibri" w:cstheme="minorHAnsi"/>
          <w:b/>
          <w:b/>
          <w:bCs/>
          <w:color w:val="002060"/>
          <w:sz w:val="40"/>
          <w:szCs w:val="40"/>
          <w:lang w:val="ro-RO"/>
        </w:rPr>
      </w:pPr>
      <w:r>
        <w:rPr>
          <w:rFonts w:cs="Calibri" w:cstheme="minorHAnsi"/>
          <w:b/>
          <w:bCs/>
          <w:color w:val="002060"/>
          <w:sz w:val="40"/>
          <w:szCs w:val="40"/>
        </w:rPr>
        <w:t xml:space="preserve">Comunicat de </w:t>
      </w:r>
      <w:r>
        <w:rPr>
          <w:rFonts w:cs="Calibri" w:cstheme="minorHAnsi"/>
          <w:b/>
          <w:bCs/>
          <w:color w:val="002060"/>
          <w:sz w:val="40"/>
          <w:szCs w:val="40"/>
          <w:lang w:val="ro-RO"/>
        </w:rPr>
        <w:t>presă</w:t>
      </w:r>
    </w:p>
    <w:p>
      <w:pPr>
        <w:pStyle w:val="Normal"/>
        <w:jc w:val="center"/>
        <w:rPr>
          <w:rFonts w:cs="Calibri" w:cstheme="minorHAnsi"/>
          <w:color w:val="002060"/>
          <w:sz w:val="28"/>
          <w:szCs w:val="28"/>
        </w:rPr>
      </w:pPr>
      <w:r>
        <w:rPr>
          <w:rFonts w:cs="Calibri" w:cstheme="minorHAnsi"/>
          <w:color w:val="002060"/>
          <w:sz w:val="28"/>
          <w:szCs w:val="28"/>
        </w:rPr>
        <w:t>“</w:t>
      </w:r>
      <w:r>
        <w:rPr>
          <w:rFonts w:cs="Calibri" w:cstheme="minorHAnsi"/>
          <w:color w:val="002060"/>
          <w:sz w:val="28"/>
          <w:szCs w:val="28"/>
          <w:lang w:val="ro-RO"/>
        </w:rPr>
        <w:t>PNRR: Fonduri pentru România modernă și reformată!</w:t>
      </w:r>
      <w:r>
        <w:rPr>
          <w:rFonts w:cs="Calibri" w:cstheme="minorHAnsi"/>
          <w:color w:val="002060"/>
          <w:sz w:val="28"/>
          <w:szCs w:val="28"/>
        </w:rPr>
        <w:t>”</w:t>
      </w:r>
    </w:p>
    <w:p>
      <w:pPr>
        <w:pStyle w:val="Normal"/>
        <w:jc w:val="center"/>
        <w:rPr>
          <w:rFonts w:cs="Calibri" w:cstheme="minorHAnsi"/>
          <w:b/>
          <w:b/>
          <w:bCs/>
          <w:sz w:val="28"/>
          <w:szCs w:val="28"/>
        </w:rPr>
      </w:pPr>
      <w:r>
        <w:rPr>
          <w:rFonts w:cs="Calibri" w:cstheme="minorHAnsi"/>
          <w:b/>
          <w:bCs/>
          <w:sz w:val="28"/>
          <w:szCs w:val="28"/>
        </w:rPr>
      </w:r>
    </w:p>
    <w:p>
      <w:pPr>
        <w:pStyle w:val="Normal"/>
        <w:ind w:firstLine="720"/>
        <w:jc w:val="both"/>
        <w:rPr>
          <w:rFonts w:cs="Calibri" w:cstheme="minorHAnsi"/>
          <w:sz w:val="24"/>
          <w:szCs w:val="24"/>
        </w:rPr>
      </w:pPr>
      <w:r>
        <w:rPr>
          <w:rFonts w:cs="Calibri" w:cstheme="minorHAnsi"/>
          <w:b/>
          <w:bCs/>
          <w:sz w:val="24"/>
          <w:szCs w:val="24"/>
        </w:rPr>
        <w:t>COMUNA OLCEA</w:t>
      </w:r>
      <w:r>
        <w:rPr>
          <w:rFonts w:cs="Calibri" w:cstheme="minorHAnsi"/>
          <w:sz w:val="24"/>
          <w:szCs w:val="24"/>
        </w:rPr>
        <w:t xml:space="preserve"> anunță lansarea proiectului cu titlul </w:t>
      </w:r>
      <w:r>
        <w:rPr>
          <w:rFonts w:cs="Calibri" w:cstheme="minorHAnsi"/>
          <w:b/>
          <w:bCs/>
          <w:sz w:val="24"/>
          <w:szCs w:val="24"/>
        </w:rPr>
        <w:t>„Dotarea cu mobilier, materiale didactice și echipamente digitale a Școlii Gimnaziale nr. 1 Olcea”</w:t>
      </w:r>
      <w:r>
        <w:rPr>
          <w:rFonts w:cs="Calibri" w:cstheme="minorHAnsi"/>
          <w:bCs/>
          <w:sz w:val="24"/>
          <w:szCs w:val="24"/>
        </w:rPr>
        <w:t>,</w:t>
      </w:r>
      <w:r>
        <w:rPr>
          <w:rFonts w:cs="Calibri" w:cstheme="minorHAnsi"/>
          <w:sz w:val="24"/>
          <w:szCs w:val="24"/>
        </w:rPr>
        <w:t xml:space="preserve"> finanţat în cadrul </w:t>
      </w:r>
      <w:r>
        <w:rPr>
          <w:rFonts w:cs="Calibri" w:cstheme="minorHAnsi"/>
          <w:i/>
          <w:iCs/>
          <w:sz w:val="24"/>
          <w:szCs w:val="24"/>
        </w:rPr>
        <w:t xml:space="preserve">Planului Național de Redresare si Reziliență (PNRR) - Componenta 15: Educație - Dotarea cu mobilier, materiale didactice și echipamente digitale a unităților de învățământ preuniversitar și a unităților conexe, </w:t>
      </w:r>
      <w:r>
        <w:rPr>
          <w:rFonts w:cs="Calibri" w:cstheme="minorHAnsi"/>
          <w:sz w:val="24"/>
          <w:szCs w:val="24"/>
        </w:rPr>
        <w:t>prin contractul de finan</w:t>
      </w:r>
      <w:r>
        <w:rPr>
          <w:rFonts w:cs="Calibri" w:cstheme="minorHAnsi"/>
          <w:sz w:val="24"/>
          <w:szCs w:val="24"/>
          <w:lang w:val="ro-RO"/>
        </w:rPr>
        <w:t>țare încheiat între Unitatea Executivă pentru Finanțarea Învățământului Superior, a Cercetării, Dezvoltării și Inovării (UEFISCDI), în numele și pentru Ministerul Educației și Comuna Olcea</w:t>
      </w:r>
      <w:r>
        <w:rPr>
          <w:rFonts w:cs="Calibri" w:cstheme="minorHAnsi"/>
          <w:sz w:val="24"/>
          <w:szCs w:val="24"/>
        </w:rPr>
        <w:t>.</w:t>
      </w:r>
    </w:p>
    <w:p>
      <w:pPr>
        <w:pStyle w:val="Normal"/>
        <w:ind w:firstLine="720"/>
        <w:jc w:val="both"/>
        <w:rPr>
          <w:rFonts w:cs="Calibri" w:cstheme="minorHAnsi"/>
          <w:sz w:val="24"/>
          <w:szCs w:val="24"/>
        </w:rPr>
      </w:pPr>
      <w:r>
        <w:rPr>
          <w:rFonts w:cs="Calibri" w:cstheme="minorHAnsi"/>
          <w:b/>
          <w:bCs/>
          <w:sz w:val="24"/>
          <w:szCs w:val="24"/>
        </w:rPr>
        <w:t xml:space="preserve">Obiectivul </w:t>
      </w:r>
      <w:r>
        <w:rPr>
          <w:rFonts w:cs="Calibri" w:cstheme="minorHAnsi"/>
          <w:sz w:val="24"/>
          <w:szCs w:val="24"/>
        </w:rPr>
        <w:t xml:space="preserve">proiectului este de a sprijini transformarea digitală a școlilor, de a asigura infrastructura și resursele tehnologice necesare pentru unitățile de învățământ preuniversitar, sporirea calității și siguranței mediilor de învățare, inclusiv în ceea ce privește reglementările pentru materiale didactice, mobilier, echipamente de laborator și ateliere tehnologice. In vederea indeplinirii tintelor mai sus mentionate vor fi realizate urmatoarele: dotare 21 sali de clasa cu mobilier si materiale didactice, infiintare laborator stiinte si dotarea cu mobilier, echipamente didactice si echipamente IT. </w:t>
      </w:r>
    </w:p>
    <w:p>
      <w:pPr>
        <w:pStyle w:val="Normal"/>
        <w:ind w:firstLine="720"/>
        <w:jc w:val="both"/>
        <w:rPr>
          <w:rFonts w:cs="Calibri" w:cstheme="minorHAnsi"/>
          <w:sz w:val="24"/>
          <w:szCs w:val="24"/>
          <w:lang w:val="ro-RO"/>
        </w:rPr>
      </w:pPr>
      <w:r>
        <w:rPr>
          <w:rFonts w:cs="Calibri" w:cstheme="minorHAnsi"/>
          <w:b/>
          <w:bCs/>
          <w:sz w:val="24"/>
          <w:szCs w:val="24"/>
          <w:lang w:val="ro-RO"/>
        </w:rPr>
        <w:t>Valoarea totală</w:t>
      </w:r>
      <w:r>
        <w:rPr>
          <w:rFonts w:cs="Calibri" w:cstheme="minorHAnsi"/>
          <w:sz w:val="24"/>
          <w:szCs w:val="24"/>
          <w:lang w:val="ro-RO"/>
        </w:rPr>
        <w:t xml:space="preserve"> a contractului de finanțare este de 647.715,24 lei, din care valoarea eligibilă din PNRR este în cuantum 544.298,52 lei, valoarea TVA eligibil aferentă este de 103.416,72 lei.</w:t>
      </w:r>
    </w:p>
    <w:p>
      <w:pPr>
        <w:pStyle w:val="Normal"/>
        <w:ind w:firstLine="720"/>
        <w:jc w:val="both"/>
        <w:rPr>
          <w:rFonts w:cs="Calibri" w:cstheme="minorHAnsi"/>
          <w:sz w:val="24"/>
          <w:szCs w:val="24"/>
        </w:rPr>
      </w:pPr>
      <w:r>
        <w:rPr>
          <w:rFonts w:cs="Calibri" w:cstheme="minorHAnsi"/>
          <w:b/>
          <w:bCs/>
          <w:sz w:val="24"/>
          <w:szCs w:val="24"/>
        </w:rPr>
        <w:t>Data începerii și finalizării proiectului</w:t>
      </w:r>
      <w:r>
        <w:rPr>
          <w:rFonts w:cs="Calibri" w:cstheme="minorHAnsi"/>
          <w:sz w:val="24"/>
          <w:szCs w:val="24"/>
        </w:rPr>
        <w:t xml:space="preserve">: 30.08.2023 - 31.12.2024 </w:t>
      </w:r>
    </w:p>
    <w:p>
      <w:pPr>
        <w:pStyle w:val="Normal"/>
        <w:ind w:firstLine="720"/>
        <w:jc w:val="both"/>
        <w:rPr>
          <w:rFonts w:cs="Calibri" w:cstheme="minorHAnsi"/>
          <w:sz w:val="24"/>
          <w:szCs w:val="24"/>
          <w:lang w:val="ro-RO"/>
        </w:rPr>
      </w:pPr>
      <w:r>
        <w:rPr>
          <w:rFonts w:cs="Calibri" w:cstheme="minorHAnsi"/>
          <w:b/>
          <w:bCs/>
          <w:sz w:val="24"/>
          <w:szCs w:val="24"/>
          <w:lang w:val="ro-RO"/>
        </w:rPr>
        <w:t>Cod proiect</w:t>
      </w:r>
      <w:r>
        <w:rPr>
          <w:rFonts w:cs="Calibri" w:cstheme="minorHAnsi"/>
          <w:sz w:val="24"/>
          <w:szCs w:val="24"/>
          <w:lang w:val="ro-RO"/>
        </w:rPr>
        <w:t>: cod F-PNRR-Dotari-2023-0433</w:t>
      </w:r>
    </w:p>
    <w:p>
      <w:pPr>
        <w:pStyle w:val="Normal"/>
        <w:spacing w:before="0" w:after="0"/>
        <w:ind w:firstLine="720"/>
        <w:jc w:val="both"/>
        <w:rPr>
          <w:rFonts w:cs="Calibri" w:cstheme="minorHAnsi"/>
          <w:sz w:val="24"/>
          <w:szCs w:val="24"/>
          <w:lang w:val="ro-RO"/>
        </w:rPr>
      </w:pPr>
      <w:r>
        <w:rPr>
          <w:rFonts w:cs="Calibri" w:cstheme="minorHAnsi"/>
          <w:b/>
          <w:bCs/>
          <w:sz w:val="24"/>
          <w:szCs w:val="24"/>
          <w:lang w:val="ro-RO"/>
        </w:rPr>
        <w:t>Date de contact</w:t>
      </w:r>
      <w:r>
        <w:rPr>
          <w:rFonts w:cs="Calibri" w:cstheme="minorHAnsi"/>
          <w:sz w:val="24"/>
          <w:szCs w:val="24"/>
          <w:lang w:val="ro-RO"/>
        </w:rPr>
        <w:t>:</w:t>
      </w:r>
    </w:p>
    <w:p>
      <w:pPr>
        <w:pStyle w:val="Normal"/>
        <w:spacing w:before="0" w:after="0"/>
        <w:ind w:firstLine="720"/>
        <w:jc w:val="both"/>
        <w:rPr>
          <w:rFonts w:cs="Calibri" w:cstheme="minorHAnsi"/>
          <w:sz w:val="24"/>
          <w:szCs w:val="24"/>
          <w:lang w:val="ro-RO"/>
        </w:rPr>
      </w:pPr>
      <w:r>
        <w:rPr>
          <w:rFonts w:cs="Calibri" w:cstheme="minorHAnsi"/>
          <w:sz w:val="24"/>
          <w:szCs w:val="24"/>
          <w:lang w:val="ro-RO"/>
        </w:rPr>
        <w:t>Unitatea Adminitrativ Teritorială Comuna Olcea, jud. Bihor, cod poștal 417355</w:t>
      </w:r>
    </w:p>
    <w:p>
      <w:pPr>
        <w:pStyle w:val="Normal"/>
        <w:spacing w:before="0" w:after="0"/>
        <w:ind w:firstLine="720"/>
        <w:jc w:val="both"/>
        <w:rPr>
          <w:rFonts w:cs="Calibri" w:cstheme="minorHAnsi"/>
          <w:sz w:val="24"/>
          <w:szCs w:val="24"/>
          <w:lang w:val="ro-RO"/>
        </w:rPr>
      </w:pPr>
      <w:r>
        <w:rPr>
          <w:rFonts w:cs="Calibri" w:cstheme="minorHAnsi"/>
          <w:sz w:val="24"/>
          <w:szCs w:val="24"/>
          <w:lang w:val="ro-RO"/>
        </w:rPr>
        <w:t>Telefon: 0259 310 881, Fax: 0259 310 881</w:t>
      </w:r>
    </w:p>
    <w:p>
      <w:pPr>
        <w:pStyle w:val="Normal"/>
        <w:spacing w:before="0" w:after="0"/>
        <w:ind w:firstLine="720"/>
        <w:jc w:val="both"/>
        <w:rPr/>
      </w:pPr>
      <w:r>
        <w:rPr>
          <w:rFonts w:cs="Calibri" w:cstheme="minorHAnsi"/>
          <w:sz w:val="24"/>
          <w:szCs w:val="24"/>
          <w:lang w:val="ro-RO"/>
        </w:rPr>
        <w:t xml:space="preserve">E-mail: </w:t>
      </w:r>
      <w:hyperlink r:id="rId2">
        <w:r>
          <w:rPr>
            <w:rStyle w:val="InternetLink"/>
            <w:rFonts w:cs="Calibri" w:cstheme="minorHAnsi"/>
            <w:sz w:val="24"/>
            <w:szCs w:val="24"/>
            <w:lang w:val="ro-RO"/>
          </w:rPr>
          <w:t>primaria.olcea@cjbihor.ro</w:t>
        </w:r>
      </w:hyperlink>
      <w:r>
        <w:rPr>
          <w:rFonts w:cs="Calibri" w:cstheme="minorHAnsi"/>
          <w:sz w:val="24"/>
          <w:szCs w:val="24"/>
          <w:lang w:val="ro-RO"/>
        </w:rPr>
        <w:t xml:space="preserve">; </w:t>
      </w:r>
      <w:hyperlink r:id="rId3">
        <w:r>
          <w:rPr>
            <w:rStyle w:val="InternetLink"/>
            <w:rFonts w:cs="Calibri" w:cstheme="minorHAnsi"/>
            <w:sz w:val="24"/>
            <w:szCs w:val="24"/>
            <w:lang w:val="ro-RO"/>
          </w:rPr>
          <w:t>registratura@comunaolcea.ro</w:t>
        </w:r>
      </w:hyperlink>
      <w:r>
        <w:rPr>
          <w:rFonts w:cs="Calibri" w:cstheme="minorHAnsi"/>
          <w:sz w:val="24"/>
          <w:szCs w:val="24"/>
          <w:lang w:val="ro-RO"/>
        </w:rPr>
        <w:t xml:space="preserve">   </w:t>
      </w:r>
    </w:p>
    <w:p>
      <w:pPr>
        <w:pStyle w:val="Normal"/>
        <w:spacing w:before="0" w:after="0"/>
        <w:ind w:firstLine="720"/>
        <w:jc w:val="both"/>
        <w:rPr>
          <w:rFonts w:cs="Calibri" w:cstheme="minorHAnsi"/>
          <w:sz w:val="24"/>
          <w:szCs w:val="24"/>
          <w:lang w:val="ro-RO"/>
        </w:rPr>
      </w:pPr>
      <w:r>
        <w:rPr>
          <w:rFonts w:cs="Calibri" w:cstheme="minorHAnsi"/>
          <w:sz w:val="24"/>
          <w:szCs w:val="24"/>
          <w:lang w:val="ro-RO"/>
        </w:rPr>
        <w:t>Persoană de contact: Bocșe Flore, reprezentant legal</w:t>
      </w:r>
    </w:p>
    <w:p>
      <w:pPr>
        <w:pStyle w:val="Normal"/>
        <w:spacing w:before="0" w:after="0"/>
        <w:ind w:firstLine="720"/>
        <w:jc w:val="both"/>
        <w:rPr>
          <w:rFonts w:cs="Calibri" w:cstheme="minorHAnsi"/>
          <w:sz w:val="24"/>
          <w:szCs w:val="24"/>
          <w:lang w:val="ro-RO"/>
        </w:rPr>
      </w:pPr>
      <w:r>
        <w:rPr>
          <w:rFonts w:cs="Calibri" w:cstheme="minorHAnsi"/>
          <w:sz w:val="24"/>
          <w:szCs w:val="24"/>
          <w:lang w:val="ro-RO"/>
        </w:rPr>
      </w:r>
    </w:p>
    <w:p>
      <w:pPr>
        <w:pStyle w:val="Normal"/>
        <w:spacing w:before="0" w:after="0"/>
        <w:ind w:firstLine="720"/>
        <w:jc w:val="both"/>
        <w:rPr>
          <w:rFonts w:cs="Calibri" w:cstheme="minorHAnsi"/>
          <w:sz w:val="24"/>
          <w:szCs w:val="24"/>
          <w:lang w:val="ro-RO"/>
        </w:rPr>
      </w:pPr>
      <w:r>
        <w:rPr>
          <w:rFonts w:cs="Calibri" w:cstheme="minorHAnsi"/>
          <w:sz w:val="24"/>
          <w:szCs w:val="24"/>
          <w:lang w:val="ro-RO"/>
        </w:rPr>
      </w:r>
    </w:p>
    <w:p>
      <w:pPr>
        <w:pStyle w:val="Normal"/>
        <w:spacing w:before="0" w:after="0"/>
        <w:jc w:val="both"/>
        <w:rPr>
          <w:rFonts w:cs="Calibri" w:cstheme="minorHAnsi"/>
          <w:sz w:val="24"/>
          <w:szCs w:val="24"/>
          <w:highlight w:val="yellow"/>
        </w:rPr>
      </w:pPr>
      <w:r>
        <w:rPr>
          <w:rFonts w:cs="Calibri" w:cstheme="minorHAnsi"/>
          <w:sz w:val="24"/>
          <w:szCs w:val="24"/>
          <w:highlight w:val="yellow"/>
        </w:rPr>
      </w:r>
    </w:p>
    <w:p>
      <w:pPr>
        <w:pStyle w:val="Normal"/>
        <w:spacing w:before="0" w:after="0"/>
        <w:jc w:val="center"/>
        <w:rPr>
          <w:rFonts w:cs="Calibri" w:cstheme="minorHAnsi"/>
          <w:color w:val="002060"/>
          <w:sz w:val="16"/>
          <w:szCs w:val="16"/>
          <w:lang w:val="ro-RO"/>
        </w:rPr>
      </w:pPr>
      <w:r>
        <w:rPr>
          <w:rFonts w:cs="Calibri" w:cstheme="minorHAnsi"/>
          <w:color w:val="002060"/>
          <w:sz w:val="16"/>
          <w:szCs w:val="16"/>
          <w:lang w:val="ro-RO"/>
        </w:rPr>
        <w:t>„</w:t>
      </w:r>
      <w:r>
        <w:rPr>
          <w:rFonts w:cs="Calibri" w:cstheme="minorHAnsi"/>
          <w:color w:val="002060"/>
          <w:sz w:val="16"/>
          <w:szCs w:val="16"/>
          <w:lang w:val="ro-RO"/>
        </w:rPr>
        <w:t>Conținutul acestui material nu reprezintă în mod obligatoriu poziția oficială a Uniunii Europene sau a Guvernului României”</w:t>
      </w:r>
    </w:p>
    <w:p>
      <w:pPr>
        <w:pStyle w:val="Normal"/>
        <w:spacing w:before="0" w:after="0"/>
        <w:jc w:val="center"/>
        <w:rPr>
          <w:rFonts w:cs="Calibri" w:cstheme="minorHAnsi"/>
          <w:sz w:val="20"/>
          <w:szCs w:val="20"/>
          <w:lang w:val="ro-RO"/>
        </w:rPr>
      </w:pPr>
      <w:r>
        <w:rPr>
          <w:rFonts w:cs="Calibri" w:cstheme="minorHAnsi"/>
          <w:sz w:val="20"/>
          <w:szCs w:val="20"/>
          <w:lang w:val="ro-RO"/>
        </w:rPr>
      </w:r>
    </w:p>
    <w:p>
      <w:pPr>
        <w:pStyle w:val="Normal"/>
        <w:spacing w:before="0" w:after="0"/>
        <w:jc w:val="center"/>
        <w:rPr>
          <w:rFonts w:cs="Calibri" w:cstheme="minorHAnsi"/>
          <w:sz w:val="24"/>
          <w:szCs w:val="24"/>
          <w:lang w:val="ro-RO"/>
        </w:rPr>
      </w:pPr>
      <w:r>
        <w:rPr/>
        <w:drawing>
          <wp:inline distT="0" distB="0" distL="0" distR="0">
            <wp:extent cx="6151880" cy="1657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4"/>
                    <a:stretch>
                      <a:fillRect/>
                    </a:stretch>
                  </pic:blipFill>
                  <pic:spPr bwMode="auto">
                    <a:xfrm>
                      <a:off x="0" y="0"/>
                      <a:ext cx="6151880" cy="165735"/>
                    </a:xfrm>
                    <a:prstGeom prst="rect">
                      <a:avLst/>
                    </a:prstGeom>
                  </pic:spPr>
                </pic:pic>
              </a:graphicData>
            </a:graphic>
          </wp:inline>
        </w:drawing>
      </w:r>
    </w:p>
    <w:p>
      <w:pPr>
        <w:pStyle w:val="Normal"/>
        <w:spacing w:before="0" w:after="0"/>
        <w:jc w:val="center"/>
        <w:rPr>
          <w:rFonts w:cs="Calibri" w:cstheme="minorHAnsi"/>
          <w:sz w:val="24"/>
          <w:szCs w:val="24"/>
          <w:lang w:val="ro-RO"/>
        </w:rPr>
      </w:pPr>
      <w:r>
        <w:rPr>
          <w:rFonts w:cs="Calibri" w:cstheme="minorHAnsi"/>
          <w:sz w:val="24"/>
          <w:szCs w:val="24"/>
          <w:lang w:val="ro-RO"/>
        </w:rPr>
      </w:r>
    </w:p>
    <w:p>
      <w:pPr>
        <w:pStyle w:val="Normal"/>
        <w:spacing w:lineRule="auto" w:line="360" w:before="0" w:after="0"/>
        <w:jc w:val="center"/>
        <w:rPr>
          <w:rFonts w:cs="Calibri" w:cstheme="minorHAnsi"/>
          <w:b/>
          <w:b/>
          <w:bCs/>
          <w:color w:val="002060"/>
          <w:sz w:val="20"/>
          <w:szCs w:val="20"/>
          <w:lang w:val="ro-RO"/>
        </w:rPr>
      </w:pPr>
      <w:r>
        <w:rPr>
          <w:rFonts w:cs="Calibri" w:cstheme="minorHAnsi"/>
          <w:b/>
          <w:bCs/>
          <w:color w:val="002060"/>
          <w:sz w:val="20"/>
          <w:szCs w:val="20"/>
          <w:lang w:val="ro-RO"/>
        </w:rPr>
        <w:t>„</w:t>
      </w:r>
      <w:r>
        <w:rPr>
          <w:rFonts w:cs="Calibri" w:cstheme="minorHAnsi"/>
          <w:b/>
          <w:bCs/>
          <w:color w:val="002060"/>
          <w:sz w:val="20"/>
          <w:szCs w:val="20"/>
          <w:lang w:val="ro-RO"/>
        </w:rPr>
        <w:t>PNRR. Finanțat de Uniunea Europeană – UrmătoareaGenerațieUE”</w:t>
      </w:r>
    </w:p>
    <w:p>
      <w:pPr>
        <w:pStyle w:val="Normal"/>
        <w:spacing w:before="0" w:after="0"/>
        <w:jc w:val="center"/>
        <w:rPr/>
      </w:pPr>
      <w:r>
        <w:rPr>
          <w:rFonts w:cs="Calibri" w:cstheme="minorHAnsi"/>
          <w:color w:val="002060"/>
          <w:sz w:val="20"/>
          <w:szCs w:val="20"/>
          <w:lang w:val="ro-RO"/>
        </w:rPr>
        <w:t xml:space="preserve">https://mfe.gov.ro/pnrr/ </w:t>
        <w:tab/>
        <w:t>https://www.facebook.com/PNRROficial/</w:t>
      </w:r>
    </w:p>
    <w:sectPr>
      <w:headerReference w:type="default" r:id="rId5"/>
      <w:headerReference w:type="first" r:id="rId6"/>
      <w:type w:val="nextPage"/>
      <w:pgSz w:w="12240" w:h="15840"/>
      <w:pgMar w:left="1418" w:right="1134" w:header="272"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6151880" cy="59753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6151880" cy="597535"/>
                  </a:xfrm>
                  <a:prstGeom prst="rect">
                    <a:avLst/>
                  </a:prstGeom>
                </pic:spPr>
              </pic:pic>
            </a:graphicData>
          </a:graphic>
        </wp:inline>
      </w:drawing>
    </w:r>
  </w:p>
</w:hdr>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3286e"/>
    <w:rPr/>
  </w:style>
  <w:style w:type="character" w:styleId="FooterChar" w:customStyle="1">
    <w:name w:val="Footer Char"/>
    <w:basedOn w:val="DefaultParagraphFont"/>
    <w:link w:val="Footer"/>
    <w:uiPriority w:val="99"/>
    <w:qFormat/>
    <w:rsid w:val="0063286e"/>
    <w:rPr/>
  </w:style>
  <w:style w:type="character" w:styleId="Annotationreference">
    <w:name w:val="annotation reference"/>
    <w:basedOn w:val="DefaultParagraphFont"/>
    <w:uiPriority w:val="99"/>
    <w:semiHidden/>
    <w:unhideWhenUsed/>
    <w:qFormat/>
    <w:rsid w:val="008809dd"/>
    <w:rPr>
      <w:sz w:val="16"/>
      <w:szCs w:val="16"/>
    </w:rPr>
  </w:style>
  <w:style w:type="character" w:styleId="CommentTextChar" w:customStyle="1">
    <w:name w:val="Comment Text Char"/>
    <w:basedOn w:val="DefaultParagraphFont"/>
    <w:link w:val="CommentText"/>
    <w:uiPriority w:val="99"/>
    <w:semiHidden/>
    <w:qFormat/>
    <w:rsid w:val="008809dd"/>
    <w:rPr>
      <w:sz w:val="20"/>
      <w:szCs w:val="20"/>
    </w:rPr>
  </w:style>
  <w:style w:type="character" w:styleId="CommentSubjectChar" w:customStyle="1">
    <w:name w:val="Comment Subject Char"/>
    <w:basedOn w:val="CommentTextChar"/>
    <w:link w:val="CommentSubject"/>
    <w:uiPriority w:val="99"/>
    <w:semiHidden/>
    <w:qFormat/>
    <w:rsid w:val="008809dd"/>
    <w:rPr>
      <w:b/>
      <w:bCs/>
      <w:sz w:val="20"/>
      <w:szCs w:val="20"/>
    </w:rPr>
  </w:style>
  <w:style w:type="character" w:styleId="InternetLink">
    <w:name w:val="Internet Link"/>
    <w:basedOn w:val="DefaultParagraphFont"/>
    <w:uiPriority w:val="99"/>
    <w:unhideWhenUsed/>
    <w:rsid w:val="004059e1"/>
    <w:rPr>
      <w:color w:val="0563C1" w:themeColor="hyperlink"/>
      <w:u w:val="single"/>
    </w:rPr>
  </w:style>
  <w:style w:type="character" w:styleId="UnresolvedMention">
    <w:name w:val="Unresolved Mention"/>
    <w:basedOn w:val="DefaultParagraphFont"/>
    <w:uiPriority w:val="99"/>
    <w:semiHidden/>
    <w:unhideWhenUsed/>
    <w:qFormat/>
    <w:rsid w:val="004059e1"/>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63286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3286e"/>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8c47b2"/>
    <w:pPr>
      <w:spacing w:before="0" w:after="160"/>
      <w:ind w:left="720" w:hanging="0"/>
      <w:contextualSpacing/>
    </w:pPr>
    <w:rPr/>
  </w:style>
  <w:style w:type="paragraph" w:styleId="Annotationtext">
    <w:name w:val="annotation text"/>
    <w:basedOn w:val="Normal"/>
    <w:link w:val="CommentTextChar"/>
    <w:uiPriority w:val="99"/>
    <w:semiHidden/>
    <w:unhideWhenUsed/>
    <w:qFormat/>
    <w:rsid w:val="008809dd"/>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8809dd"/>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a5c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maria.olcea@cjbihor.ro" TargetMode="External"/><Relationship Id="rId3" Type="http://schemas.openxmlformats.org/officeDocument/2006/relationships/hyperlink" Target="mailto:registratura@comunaolcea.ro" TargetMode="Externa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649E-B497-4844-8B9D-94DC25B4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LibreOffice/6.3.4.2$Windows_x86 LibreOffice_project/60da17e045e08f1793c57c00ba83cdfce946d0aa</Application>
  <Pages>1</Pages>
  <Words>266</Words>
  <Characters>1811</Characters>
  <CharactersWithSpaces>2069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2022-05-17T11:23:00Z</dcterms:created>
  <dc:creator>User</dc:creator>
  <dc:description/>
  <dc:language>en-US</dc:language>
  <cp:lastModifiedBy>Roxi</cp:lastModifiedBy>
  <dcterms:modified xsi:type="dcterms:W3CDTF">2023-09-28T10:02:00Z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